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26-241</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167</w:t>
      </w:r>
    </w:p>
    <w:p>
      <w:pPr>
        <w:spacing w:before="0" w:after="0" w:line="480"/>
        <w:ind w:left="120"/>
        <w:jc w:val="center"/>
      </w:pPr>
      <w:r>
        <w:rPr>
          <w:rFonts w:ascii="Times New Roman" w:hAnsi="Times New Roman"/>
          <w:b w:val="false"/>
          <w:i w:val="false"/>
          <w:color w:val="000000"/>
          <w:sz w:val="24"/>
        </w:rPr>
        <w:t>“Juvenile Detention Reimbursement”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232.142</w:t>
      </w:r>
    </w:p>
    <w:p>
      <w:pPr>
        <w:spacing w:before="0" w:after="0" w:line="480"/>
        <w:ind w:left="120"/>
        <w:jc w:val="both"/>
      </w:pPr>
      <w:r>
        <w:rPr>
          <w:rFonts w:ascii="Times New Roman" w:hAnsi="Times New Roman"/>
          <w:b w:val="false"/>
          <w:i w:val="false"/>
          <w:color w:val="000000"/>
          <w:sz w:val="24"/>
        </w:rPr>
        <w:t>State or federal law(s) implemented by the rulemaking: Iowa Code section 232.142</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245 818 881 867 66</w:t>
            </w:r>
            <w:r>
              <w:br/>
            </w:r>
            <w:r>
              <w:rPr>
                <w:rFonts w:ascii="Times New Roman" w:hAnsi="Times New Roman"/>
                <w:b w:val="false"/>
                <w:i w:val="false"/>
                <w:color w:val="000000"/>
                <w:sz w:val="14"/>
              </w:rPr>
              <w:t>Passcode: ya9va9uv</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a part of the Red Tape Review as set forth by Executive Order 10. As a part of this review, restrictive terms were eliminated and rules were updated to reflect modern practices. This proposed chapter sets forth rules for eligible juvenile detention homes to receive reimbursement from the Department for the cost of operating the detention homes.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Eligible juvenile detention homes will benefit from these proposed rules by having clear requirements for reimbursement.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proposed rulemaking will help clarify which costs of juvenile detention homes are eligible for reimbursement, as well as the steps necessary to receive the approved reimbursement funds.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Juvenile detention home administrators will benefit from this proposed rulemaking by having clear steps necessary to be deemed eligible and receive reimbursement.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enforcement of this proposed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Iowa Code section 232.142.</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is not expected to have any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167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167</w:t>
      </w:r>
    </w:p>
    <w:p>
      <w:pPr>
        <w:spacing w:before="0" w:after="0" w:line="480"/>
        <w:ind w:left="120"/>
        <w:jc w:val="center"/>
      </w:pPr>
      <w:r>
        <w:rPr>
          <w:rFonts w:ascii="Times New Roman" w:hAnsi="Times New Roman"/>
          <w:b w:val="false"/>
          <w:i w:val="false"/>
          <w:color w:val="000000"/>
          <w:sz w:val="21"/>
        </w:rPr>
        <w:t>JUVENILE DETENTION REIMBURSEMENT</w:t>
      </w:r>
    </w:p>
    <w:p>
      <w:pPr>
        <w:spacing w:before="0" w:after="0" w:line="480"/>
        <w:ind w:left="120"/>
        <w:jc w:val="both"/>
      </w:pPr>
      <w:r>
        <w:rPr>
          <w:rFonts w:ascii="Times New Roman" w:hAnsi="Times New Roman"/>
          <w:b/>
          <w:i w:val="false"/>
          <w:color w:val="000000"/>
          <w:sz w:val="24"/>
        </w:rPr>
        <w:t>441—167.1</w:t>
      </w:r>
      <w:r>
        <w:rPr>
          <w:rFonts w:ascii="Times New Roman" w:hAnsi="Times New Roman"/>
          <w:b/>
          <w:i w:val="false"/>
          <w:color w:val="000000"/>
          <w:sz w:val="24"/>
        </w:rPr>
        <w:t xml:space="preserve">(232)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“Allowable costs”</w:t>
      </w:r>
      <w:r>
        <w:rPr>
          <w:rFonts w:ascii="Times New Roman" w:hAnsi="Times New Roman"/>
          <w:b w:val="false"/>
          <w:i/>
          <w:color w:val="000000"/>
          <w:sz w:val="24"/>
          <w:u w:val="single"/>
        </w:rPr>
        <w:t> </w:t>
      </w:r>
      <w:r>
        <w:rPr>
          <w:rFonts w:ascii="Times New Roman" w:hAnsi="Times New Roman"/>
          <w:b w:val="false"/>
          <w:i w:val="false"/>
          <w:color w:val="000000"/>
          <w:sz w:val="24"/>
        </w:rPr>
        <w:t>means those expenses of the county or multicounty related to the establishment, improvements, operation, and maintenance of county or multicounty juvenile detention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“County or multicounty”</w:t>
      </w:r>
      <w:r>
        <w:rPr>
          <w:rFonts w:ascii="Times New Roman" w:hAnsi="Times New Roman"/>
          <w:b w:val="false"/>
          <w:i/>
          <w:color w:val="000000"/>
          <w:sz w:val="24"/>
          <w:u w:val="single"/>
        </w:rPr>
        <w:t> </w:t>
      </w:r>
      <w:r>
        <w:rPr>
          <w:rFonts w:ascii="Times New Roman" w:hAnsi="Times New Roman"/>
          <w:b w:val="false"/>
          <w:i w:val="false"/>
          <w:color w:val="000000"/>
          <w:sz w:val="24"/>
        </w:rPr>
        <w:t>means that the governing body is a county board of supervisors or a combination of members of participating county boards of supervisors.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“Detained”</w:t>
      </w:r>
      <w:r>
        <w:rPr>
          <w:rFonts w:ascii="Times New Roman" w:hAnsi="Times New Roman"/>
          <w:b w:val="false"/>
          <w:i/>
          <w:color w:val="000000"/>
          <w:sz w:val="24"/>
          <w:u w:val="single"/>
        </w:rPr>
        <w:t> </w:t>
      </w:r>
      <w:r>
        <w:rPr>
          <w:rFonts w:ascii="Times New Roman" w:hAnsi="Times New Roman"/>
          <w:b w:val="false"/>
          <w:i w:val="false"/>
          <w:color w:val="000000"/>
          <w:sz w:val="24"/>
        </w:rPr>
        <w:t>means the period of time a youth is physically occupying a bed in a juvenile detention home, that is, from the time of intake at the juvenile detention home (nothing prior to this) to the time a youth is discharged from the bed at the home (nothing after this).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costs”</w:t>
      </w:r>
      <w:r>
        <w:rPr>
          <w:rFonts w:ascii="Times New Roman" w:hAnsi="Times New Roman"/>
          <w:b w:val="false"/>
          <w:i/>
          <w:color w:val="000000"/>
          <w:sz w:val="24"/>
          <w:u w:val="single"/>
        </w:rPr>
        <w:t> </w:t>
      </w:r>
      <w:r>
        <w:rPr>
          <w:rFonts w:ascii="Times New Roman" w:hAnsi="Times New Roman"/>
          <w:b w:val="false"/>
          <w:i w:val="false"/>
          <w:color w:val="000000"/>
          <w:sz w:val="24"/>
        </w:rPr>
        <w:t>are those allowable costs that are directly attributable to the function of detaining youth in the home, from the point of intake through discharge from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“In-home detention”</w:t>
      </w:r>
      <w:r>
        <w:rPr>
          <w:rFonts w:ascii="Times New Roman" w:hAnsi="Times New Roman"/>
          <w:b w:val="false"/>
          <w:i/>
          <w:color w:val="000000"/>
          <w:sz w:val="24"/>
          <w:u w:val="single"/>
        </w:rPr>
        <w:t> </w:t>
      </w:r>
      <w:r>
        <w:rPr>
          <w:rFonts w:ascii="Times New Roman" w:hAnsi="Times New Roman"/>
          <w:b w:val="false"/>
          <w:i w:val="false"/>
          <w:color w:val="000000"/>
          <w:sz w:val="24"/>
        </w:rPr>
        <w:t>means a detention program that confines a child to the child’s residence as an alternative to secure detention at juvenile detention home. In-home detention allows limited movement for approved activities like school, work or medical appointments and aims to provide supervision of children while enabling them to maintain some responsibilities and relationships outside of a secure juvenile detention home.</w:t>
      </w:r>
    </w:p>
    <w:p>
      <w:pPr>
        <w:spacing w:before="210" w:after="0" w:line="480"/>
        <w:ind w:left="120"/>
        <w:jc w:val="both"/>
      </w:pPr>
      <w:r>
        <w:rPr>
          <w:rFonts w:ascii="Times New Roman" w:hAnsi="Times New Roman"/>
          <w:b/>
          <w:i w:val="false"/>
          <w:color w:val="000000"/>
          <w:sz w:val="24"/>
        </w:rPr>
        <w:t>441—167.2</w:t>
      </w:r>
      <w:r>
        <w:rPr>
          <w:rFonts w:ascii="Times New Roman" w:hAnsi="Times New Roman"/>
          <w:b/>
          <w:i w:val="false"/>
          <w:color w:val="000000"/>
          <w:sz w:val="24"/>
        </w:rPr>
        <w:t xml:space="preserve">(232) </w:t>
      </w:r>
      <w:r>
        <w:rPr>
          <w:rFonts w:ascii="Times New Roman" w:hAnsi="Times New Roman"/>
          <w:b/>
          <w:i w:val="false"/>
          <w:color w:val="000000"/>
          <w:sz w:val="24"/>
        </w:rPr>
        <w:t xml:space="preserve">Availability of funds. </w:t>
      </w:r>
      <w:r>
        <w:rPr>
          <w:rFonts w:ascii="Times New Roman" w:hAnsi="Times New Roman"/>
          <w:b w:val="false"/>
          <w:i w:val="false"/>
          <w:color w:val="000000"/>
          <w:sz w:val="24"/>
        </w:rPr>
        <w:t>Any year that the Iowa legislature makes funds available for this program, the department will accept requests for reimbursement from eligible facilities.</w:t>
      </w:r>
    </w:p>
    <w:p>
      <w:pPr>
        <w:spacing w:before="0" w:after="0" w:line="480"/>
        <w:ind w:left="120"/>
        <w:jc w:val="both"/>
      </w:pPr>
      <w:r>
        <w:rPr>
          <w:rFonts w:ascii="Times New Roman" w:hAnsi="Times New Roman"/>
          <w:b/>
          <w:i w:val="false"/>
          <w:color w:val="000000"/>
          <w:sz w:val="24"/>
        </w:rPr>
        <w:t>441—167.3</w:t>
      </w:r>
      <w:r>
        <w:rPr>
          <w:rFonts w:ascii="Times New Roman" w:hAnsi="Times New Roman"/>
          <w:b/>
          <w:i w:val="false"/>
          <w:color w:val="000000"/>
          <w:sz w:val="24"/>
        </w:rPr>
        <w:t xml:space="preserve">(232) </w:t>
      </w:r>
      <w:r>
        <w:rPr>
          <w:rFonts w:ascii="Times New Roman" w:hAnsi="Times New Roman"/>
          <w:b/>
          <w:i w:val="false"/>
          <w:color w:val="000000"/>
          <w:sz w:val="24"/>
        </w:rPr>
        <w:t xml:space="preserve">Eligible detention homes. </w:t>
      </w:r>
      <w:r>
        <w:rPr>
          <w:rFonts w:ascii="Times New Roman" w:hAnsi="Times New Roman"/>
          <w:b w:val="false"/>
          <w:i w:val="false"/>
          <w:color w:val="000000"/>
          <w:sz w:val="24"/>
        </w:rPr>
        <w:t>County and multicounty juvenile detention homes shall be eligible for reimbursement under this program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167.3(1)</w:t>
      </w:r>
      <w:r>
        <w:rPr>
          <w:rFonts w:ascii="Times New Roman" w:hAnsi="Times New Roman"/>
          <w:b w:val="false"/>
          <w:i w:val="false"/>
          <w:color w:val="000000"/>
          <w:sz w:val="24"/>
        </w:rPr>
        <w:t> </w:t>
      </w:r>
      <w:r>
        <w:rPr>
          <w:rFonts w:ascii="Times New Roman" w:hAnsi="Times New Roman"/>
          <w:b w:val="false"/>
          <w:i w:val="false"/>
          <w:color w:val="000000"/>
          <w:sz w:val="24"/>
        </w:rPr>
        <w:t>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Is approved by the department under the standards of Iowa Code chapter </w:t>
      </w:r>
      <w:hyperlink r:id="rId5">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Submits the following completed forms and audits by March 15, or within ten days of completion if after March 15, of the year following the conclusion of the state fiscal year for which reimbursement will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written statement identifying the eligible total net cost that will be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copy of the department-authorized financial and statistical report for juvenile detention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copy of the home’s certified audit containing financial information for the period for which reimbursement is being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Has an independent certified public accountant or an independent accounting firm complete the financial and statistical report and certify the fair presentation of the report. The preparer shall have the experience necessary to complete the report in accordance with generally accepted accounting principles (GAAP) and the instructions for completing the financial and statistical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167.3(2)</w:t>
      </w:r>
      <w:r>
        <w:rPr>
          <w:rFonts w:ascii="Times New Roman" w:hAnsi="Times New Roman"/>
          <w:b w:val="false"/>
          <w:i w:val="false"/>
          <w:color w:val="000000"/>
          <w:sz w:val="24"/>
        </w:rPr>
        <w:t> </w:t>
      </w:r>
      <w:r>
        <w:rPr>
          <w:rFonts w:ascii="Times New Roman" w:hAnsi="Times New Roman"/>
          <w:b w:val="false"/>
          <w:i w:val="false"/>
          <w:color w:val="000000"/>
          <w:sz w:val="24"/>
        </w:rPr>
        <w:t>The department has reviewed the information submitted and determined that the costs to be claimed meet eligibility requirements. Eligible costs are based on the portions of the allowable costs that are directly attributable to the function of detaining youth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Costs are not eligible for reimbursement if a supplemental funding, reimbursement, or refund source is available to the home. County payments to an eligible home for the function of detaining youth in the home are not considered to be supplemental funding, reimbursement, or refund sources for the purpose of this subrule. Ineligible costs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Refundable deposits.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Services funded by sources other than the juvenile detention reimbursement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Operational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Costs attributed to portions of the home not directly used for detaining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Costs of alternatives to detaining youth in the approved detention home. Alternative services ineligible for reimbursement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Community tracking and monitoring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Transportation during the time a youth is detained that is not related to service or care and keep or that is the responsibility of or funded by another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Outreach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In-home detention.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Capital expenses are depreciated over the useful life of the item following GAAP. The annual depreciated amount for items that are eligible costs may be claimed for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Capital expenses include items costing more than $5,000 that have a useful life of over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Depreciation schedules shall be filed with the department annually.</w:t>
      </w:r>
    </w:p>
    <w:p>
      <w:pPr>
        <w:spacing w:before="210" w:after="0" w:line="480"/>
        <w:ind w:left="120"/>
        <w:jc w:val="both"/>
      </w:pPr>
      <w:r>
        <w:rPr>
          <w:rFonts w:ascii="Times New Roman" w:hAnsi="Times New Roman"/>
          <w:b/>
          <w:i w:val="false"/>
          <w:color w:val="000000"/>
          <w:sz w:val="24"/>
        </w:rPr>
        <w:t>441—167.4</w:t>
      </w:r>
      <w:r>
        <w:rPr>
          <w:rFonts w:ascii="Times New Roman" w:hAnsi="Times New Roman"/>
          <w:b/>
          <w:i w:val="false"/>
          <w:color w:val="000000"/>
          <w:sz w:val="24"/>
        </w:rPr>
        <w:t xml:space="preserve">(232) </w:t>
      </w:r>
      <w:r>
        <w:rPr>
          <w:rFonts w:ascii="Times New Roman" w:hAnsi="Times New Roman"/>
          <w:b/>
          <w:i w:val="false"/>
          <w:color w:val="000000"/>
          <w:sz w:val="24"/>
        </w:rPr>
        <w:t xml:space="preserve">Available reimbursement. </w:t>
      </w:r>
      <w:r>
        <w:rPr>
          <w:rFonts w:ascii="Times New Roman" w:hAnsi="Times New Roman"/>
          <w:b w:val="false"/>
          <w:i w:val="false"/>
          <w:color w:val="000000"/>
          <w:sz w:val="24"/>
        </w:rPr>
        <w:t xml:space="preserve">The reimbursement for the participating detention homes will be based on the distribution formula authorized by Iowa Code section </w:t>
      </w:r>
      <w:hyperlink r:id="rId6">
        <w:r>
          <w:rPr>
            <w:rStyle w:val="Hyperlink"/>
            <w:rFonts w:ascii="Times New Roman" w:hAnsi="Times New Roman"/>
            <w:b w:val="false"/>
            <w:i w:val="false"/>
            <w:color w:val="000000"/>
            <w:sz w:val="24"/>
          </w:rPr>
          <w:t>232.142</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441—167.5</w:t>
      </w:r>
      <w:r>
        <w:rPr>
          <w:rFonts w:ascii="Times New Roman" w:hAnsi="Times New Roman"/>
          <w:b/>
          <w:i w:val="false"/>
          <w:color w:val="000000"/>
          <w:sz w:val="24"/>
        </w:rPr>
        <w:t xml:space="preserve">(232) </w:t>
      </w:r>
      <w:r>
        <w:rPr>
          <w:rFonts w:ascii="Times New Roman" w:hAnsi="Times New Roman"/>
          <w:b/>
          <w:i w:val="false"/>
          <w:color w:val="000000"/>
          <w:sz w:val="24"/>
        </w:rPr>
        <w:t xml:space="preserve">Reimbursement by the department. </w:t>
      </w:r>
      <w:r>
        <w:rPr>
          <w:rFonts w:ascii="Times New Roman" w:hAnsi="Times New Roman"/>
          <w:b w:val="false"/>
          <w:i w:val="false"/>
          <w:color w:val="000000"/>
          <w:sz w:val="24"/>
        </w:rPr>
        <w:t>Reimbursement will only be made to those participating juvenile detention homes that the department has determined to have complied with these rules.</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7">
        <w:r>
          <w:rPr>
            <w:rStyle w:val="Hyperlink"/>
            <w:rFonts w:ascii="Times New Roman" w:hAnsi="Times New Roman"/>
            <w:b w:val="false"/>
            <w:i w:val="false"/>
            <w:color w:val="000000"/>
            <w:sz w:val="24"/>
          </w:rPr>
          <w:t>232.142</w:t>
        </w:r>
      </w:hyperlink>
      <w:r>
        <w:rPr>
          <w:rFonts w:ascii="Times New Roman" w:hAnsi="Times New Roman"/>
          <w:b w:val="false"/>
          <w:i w:val="false"/>
          <w:color w:val="000000"/>
          <w:sz w:val="24"/>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2.pdf" Type="http://schemas.openxmlformats.org/officeDocument/2006/relationships/hyperlink" Id="rId5"/>
    <Relationship TargetMode="External" Target="https://www.legis.iowa.gov/docs/ico/chapter/232.142.pdf" Type="http://schemas.openxmlformats.org/officeDocument/2006/relationships/hyperlink" Id="rId6"/>
    <Relationship TargetMode="External" Target="https://www.legis.iowa.gov/docs/ico/chapter/232.14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